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CC" w:rsidRPr="003712CC" w:rsidRDefault="003712CC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12CC">
        <w:rPr>
          <w:rFonts w:ascii="Arial" w:hAnsi="Arial" w:cs="Arial"/>
          <w:bCs/>
          <w:spacing w:val="-3"/>
          <w:sz w:val="22"/>
          <w:szCs w:val="22"/>
        </w:rPr>
        <w:t>The</w:t>
      </w:r>
      <w:r w:rsidRPr="003712CC">
        <w:rPr>
          <w:rFonts w:ascii="Arial" w:hAnsi="Arial" w:cs="Arial"/>
          <w:sz w:val="22"/>
          <w:szCs w:val="22"/>
        </w:rPr>
        <w:t xml:space="preserve"> Building and Construction Industry (Portable Long Service Leave) Authority, trading as “QLeave”, was established under the </w:t>
      </w:r>
      <w:r w:rsidRPr="003712CC">
        <w:rPr>
          <w:rFonts w:ascii="Arial" w:hAnsi="Arial" w:cs="Arial"/>
          <w:i/>
          <w:sz w:val="22"/>
          <w:szCs w:val="22"/>
        </w:rPr>
        <w:t xml:space="preserve">Building and Construction Industry (Portable Long Service Leave) Act 1991 </w:t>
      </w:r>
      <w:r w:rsidRPr="003712CC">
        <w:rPr>
          <w:rFonts w:ascii="Arial" w:hAnsi="Arial" w:cs="Arial"/>
          <w:sz w:val="22"/>
          <w:szCs w:val="22"/>
        </w:rPr>
        <w:t>(the Act)</w:t>
      </w:r>
      <w:r w:rsidRPr="003712CC">
        <w:rPr>
          <w:rFonts w:ascii="Arial" w:hAnsi="Arial" w:cs="Arial"/>
          <w:i/>
          <w:sz w:val="22"/>
          <w:szCs w:val="22"/>
        </w:rPr>
        <w:t xml:space="preserve"> </w:t>
      </w:r>
      <w:r w:rsidRPr="003712CC">
        <w:rPr>
          <w:rFonts w:ascii="Arial" w:hAnsi="Arial" w:cs="Arial"/>
          <w:sz w:val="22"/>
          <w:szCs w:val="22"/>
        </w:rPr>
        <w:t xml:space="preserve">to administer a Portable Long Service Leave Scheme </w:t>
      </w:r>
      <w:r w:rsidR="00905400">
        <w:rPr>
          <w:rFonts w:ascii="Arial" w:hAnsi="Arial" w:cs="Arial"/>
          <w:sz w:val="22"/>
          <w:szCs w:val="22"/>
        </w:rPr>
        <w:t xml:space="preserve">(the Scheme) </w:t>
      </w:r>
      <w:r w:rsidRPr="003712CC">
        <w:rPr>
          <w:rFonts w:ascii="Arial" w:hAnsi="Arial" w:cs="Arial"/>
          <w:sz w:val="22"/>
          <w:szCs w:val="22"/>
        </w:rPr>
        <w:t xml:space="preserve">for eligible workers in the building and construction industry in </w:t>
      </w:r>
      <w:smartTag w:uri="urn:schemas-microsoft-com:office:smarttags" w:element="State">
        <w:smartTag w:uri="urn:schemas-microsoft-com:office:smarttags" w:element="place">
          <w:r w:rsidRPr="003712C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712CC">
        <w:rPr>
          <w:rFonts w:ascii="Arial" w:hAnsi="Arial" w:cs="Arial"/>
          <w:sz w:val="22"/>
          <w:szCs w:val="22"/>
        </w:rPr>
        <w:t>.</w:t>
      </w:r>
    </w:p>
    <w:p w:rsidR="003712CC" w:rsidRPr="003712CC" w:rsidRDefault="003712CC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712CC">
        <w:rPr>
          <w:rFonts w:ascii="Arial" w:hAnsi="Arial" w:cs="Arial"/>
          <w:bCs/>
          <w:spacing w:val="-3"/>
          <w:sz w:val="22"/>
          <w:szCs w:val="22"/>
        </w:rPr>
        <w:t>The</w:t>
      </w:r>
      <w:r w:rsidRPr="003712CC">
        <w:rPr>
          <w:rFonts w:ascii="Arial" w:hAnsi="Arial" w:cs="Arial"/>
          <w:sz w:val="22"/>
          <w:szCs w:val="22"/>
        </w:rPr>
        <w:t xml:space="preserve"> Scheme is entirely self-funded through a levy on all building and construction work costing $80,000 or more. The levy rate set by the </w:t>
      </w:r>
      <w:r w:rsidRPr="003712CC">
        <w:rPr>
          <w:rFonts w:ascii="Arial" w:hAnsi="Arial" w:cs="Arial"/>
          <w:i/>
          <w:sz w:val="22"/>
          <w:szCs w:val="22"/>
        </w:rPr>
        <w:t>Building and Construction Industry (Portable Long Service Leave) Regulation 2002</w:t>
      </w:r>
      <w:r w:rsidRPr="003712CC">
        <w:rPr>
          <w:rFonts w:ascii="Arial" w:hAnsi="Arial" w:cs="Arial"/>
          <w:sz w:val="22"/>
          <w:szCs w:val="22"/>
        </w:rPr>
        <w:t xml:space="preserve"> (the Regulation) is adjusted from time to time on actuarial advice, and currently stands at 0.2% of the total cost of work. Pursuant to the provisions of the Act, the Scheme’s funds are actuarially assessed every two years.</w:t>
      </w:r>
    </w:p>
    <w:p w:rsidR="003712CC" w:rsidRPr="003712CC" w:rsidRDefault="003712CC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712CC">
        <w:rPr>
          <w:rFonts w:ascii="Arial" w:hAnsi="Arial" w:cs="Arial"/>
          <w:sz w:val="22"/>
          <w:szCs w:val="22"/>
        </w:rPr>
        <w:t xml:space="preserve">QLeave’s </w:t>
      </w:r>
      <w:r w:rsidRPr="003712CC">
        <w:rPr>
          <w:rFonts w:ascii="Arial" w:hAnsi="Arial" w:cs="Arial"/>
          <w:bCs/>
          <w:spacing w:val="-3"/>
          <w:sz w:val="22"/>
          <w:szCs w:val="22"/>
        </w:rPr>
        <w:t>Actuary</w:t>
      </w:r>
      <w:r w:rsidRPr="003712CC">
        <w:rPr>
          <w:rFonts w:ascii="Arial" w:hAnsi="Arial" w:cs="Arial"/>
          <w:sz w:val="22"/>
          <w:szCs w:val="22"/>
        </w:rPr>
        <w:t xml:space="preserve"> was engaged to provide a report as to the adequacy of the current levy rate in April 2009.</w:t>
      </w:r>
    </w:p>
    <w:p w:rsidR="003712CC" w:rsidRPr="003712CC" w:rsidRDefault="003712CC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12CC">
        <w:rPr>
          <w:rFonts w:ascii="Arial" w:hAnsi="Arial" w:cs="Arial"/>
          <w:bCs/>
          <w:spacing w:val="-3"/>
          <w:sz w:val="22"/>
          <w:szCs w:val="22"/>
        </w:rPr>
        <w:t xml:space="preserve">On 15 September 2009, a </w:t>
      </w:r>
      <w:r w:rsidRPr="003712CC">
        <w:rPr>
          <w:rFonts w:ascii="Arial" w:hAnsi="Arial" w:cs="Arial"/>
          <w:sz w:val="22"/>
          <w:szCs w:val="22"/>
        </w:rPr>
        <w:t>Regulatory Impact Statement was released for public comment outlining the proposal to raise the percentage rate of the portable long service leave levy from 0.2% to 0.3%.</w:t>
      </w:r>
      <w:r w:rsidRPr="003712C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712CC" w:rsidRDefault="003712CC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712CC">
        <w:rPr>
          <w:rFonts w:ascii="Arial" w:hAnsi="Arial" w:cs="Arial"/>
          <w:sz w:val="22"/>
          <w:szCs w:val="22"/>
        </w:rPr>
        <w:t xml:space="preserve">To ensure </w:t>
      </w:r>
      <w:r w:rsidRPr="003712CC">
        <w:rPr>
          <w:rFonts w:ascii="Arial" w:hAnsi="Arial" w:cs="Arial"/>
          <w:bCs/>
          <w:spacing w:val="-3"/>
          <w:sz w:val="22"/>
          <w:szCs w:val="22"/>
        </w:rPr>
        <w:t>the</w:t>
      </w:r>
      <w:r w:rsidRPr="003712CC">
        <w:rPr>
          <w:rFonts w:ascii="Arial" w:hAnsi="Arial" w:cs="Arial"/>
          <w:sz w:val="22"/>
          <w:szCs w:val="22"/>
        </w:rPr>
        <w:t xml:space="preserve"> continuing viability of the Scheme, the </w:t>
      </w:r>
      <w:r w:rsidR="00DB3C67">
        <w:rPr>
          <w:rFonts w:ascii="Arial" w:hAnsi="Arial" w:cs="Arial"/>
          <w:sz w:val="22"/>
          <w:szCs w:val="22"/>
        </w:rPr>
        <w:t xml:space="preserve">new </w:t>
      </w:r>
      <w:r w:rsidRPr="003712CC">
        <w:rPr>
          <w:rFonts w:ascii="Arial" w:hAnsi="Arial" w:cs="Arial"/>
          <w:sz w:val="22"/>
          <w:szCs w:val="22"/>
        </w:rPr>
        <w:t xml:space="preserve">levy rate is </w:t>
      </w:r>
      <w:r w:rsidR="00407567">
        <w:rPr>
          <w:rFonts w:ascii="Arial" w:hAnsi="Arial" w:cs="Arial"/>
          <w:sz w:val="22"/>
          <w:szCs w:val="22"/>
        </w:rPr>
        <w:t xml:space="preserve">proposed </w:t>
      </w:r>
      <w:r w:rsidRPr="003712CC">
        <w:rPr>
          <w:rFonts w:ascii="Arial" w:hAnsi="Arial" w:cs="Arial"/>
          <w:sz w:val="22"/>
          <w:szCs w:val="22"/>
        </w:rPr>
        <w:t xml:space="preserve">to </w:t>
      </w:r>
      <w:r w:rsidR="00DB3C67">
        <w:rPr>
          <w:rFonts w:ascii="Arial" w:hAnsi="Arial" w:cs="Arial"/>
          <w:sz w:val="22"/>
          <w:szCs w:val="22"/>
        </w:rPr>
        <w:t xml:space="preserve">take effect as from 1 January 2010. </w:t>
      </w:r>
    </w:p>
    <w:p w:rsidR="00D41362" w:rsidRDefault="00D41362" w:rsidP="00D41362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A35F50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</w:t>
      </w:r>
      <w:r w:rsidR="00A35F50">
        <w:rPr>
          <w:rFonts w:ascii="Arial" w:hAnsi="Arial" w:cs="Arial"/>
          <w:sz w:val="22"/>
          <w:szCs w:val="22"/>
        </w:rPr>
        <w:t xml:space="preserve">that </w:t>
      </w:r>
      <w:r w:rsidR="003712CC">
        <w:rPr>
          <w:rFonts w:ascii="Arial" w:hAnsi="Arial" w:cs="Arial"/>
          <w:sz w:val="22"/>
          <w:szCs w:val="22"/>
        </w:rPr>
        <w:t>the Building and Construction Industry (Portable Long Service Leave) Amendment Regulation (No. 1) 2009 be recommended to the Governor in Council for approval</w:t>
      </w:r>
      <w:r>
        <w:rPr>
          <w:rFonts w:ascii="Arial" w:hAnsi="Arial" w:cs="Arial"/>
          <w:sz w:val="22"/>
          <w:szCs w:val="22"/>
        </w:rPr>
        <w:t>.</w:t>
      </w:r>
    </w:p>
    <w:p w:rsidR="003712CC" w:rsidRPr="003712CC" w:rsidRDefault="00D41362" w:rsidP="00D41362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35F50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3712CC">
        <w:rPr>
          <w:rFonts w:ascii="Arial" w:hAnsi="Arial" w:cs="Arial"/>
          <w:sz w:val="22"/>
          <w:szCs w:val="22"/>
        </w:rPr>
        <w:t xml:space="preserve">the Building and Construction Industry (Portable Long Service Leave) Amendment Regulation (No. 1) 2009 </w:t>
      </w:r>
      <w:r w:rsidR="00A35F50">
        <w:rPr>
          <w:rFonts w:ascii="Arial" w:hAnsi="Arial" w:cs="Arial"/>
          <w:sz w:val="22"/>
          <w:szCs w:val="22"/>
        </w:rPr>
        <w:t xml:space="preserve">would </w:t>
      </w:r>
      <w:r w:rsidR="003712CC">
        <w:rPr>
          <w:rFonts w:ascii="Arial" w:hAnsi="Arial" w:cs="Arial"/>
          <w:sz w:val="22"/>
          <w:szCs w:val="22"/>
        </w:rPr>
        <w:t xml:space="preserve">be laid before the Legislative Assembly within 14 sitting days after publication in the Government Gazette. </w:t>
      </w:r>
    </w:p>
    <w:p w:rsidR="003712CC" w:rsidRPr="00A35F50" w:rsidRDefault="00750A10" w:rsidP="00AA27B3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57" w:hanging="357"/>
        <w:jc w:val="both"/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</w:pPr>
      <w:r w:rsidRPr="00A35F50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</w:t>
      </w:r>
      <w:r w:rsidR="003712CC" w:rsidRPr="00A35F50"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  <w:t>Attachments</w:t>
      </w:r>
    </w:p>
    <w:p w:rsidR="00A35F50" w:rsidRPr="003712CC" w:rsidRDefault="00C54316" w:rsidP="00A35F50">
      <w:pPr>
        <w:numPr>
          <w:ilvl w:val="0"/>
          <w:numId w:val="3"/>
        </w:numPr>
        <w:tabs>
          <w:tab w:val="clear" w:pos="1077"/>
          <w:tab w:val="num" w:pos="284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A35F50" w:rsidRPr="00EB5974">
          <w:rPr>
            <w:rStyle w:val="Hyperlink"/>
            <w:rFonts w:ascii="Arial" w:hAnsi="Arial" w:cs="Arial"/>
            <w:sz w:val="22"/>
            <w:szCs w:val="22"/>
          </w:rPr>
          <w:t>Building and Construction Industry (Portable Long Service Leave) Amendment Regulation (No. 1) 2009</w:t>
        </w:r>
      </w:hyperlink>
    </w:p>
    <w:p w:rsidR="003712CC" w:rsidRPr="00671AF8" w:rsidRDefault="00C54316" w:rsidP="00DB3C67">
      <w:pPr>
        <w:numPr>
          <w:ilvl w:val="0"/>
          <w:numId w:val="3"/>
        </w:numPr>
        <w:tabs>
          <w:tab w:val="clear" w:pos="1077"/>
        </w:tabs>
        <w:spacing w:before="120"/>
        <w:ind w:left="714" w:hanging="357"/>
        <w:jc w:val="both"/>
        <w:rPr>
          <w:bCs/>
          <w:spacing w:val="-3"/>
        </w:rPr>
      </w:pPr>
      <w:hyperlink r:id="rId8" w:history="1">
        <w:r w:rsidR="003712CC" w:rsidRPr="00EB597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Regulatory Impact Statement</w:t>
        </w:r>
      </w:hyperlink>
    </w:p>
    <w:p w:rsidR="00671AF8" w:rsidRDefault="00671AF8" w:rsidP="00671AF8">
      <w:pPr>
        <w:spacing w:before="120"/>
        <w:jc w:val="both"/>
      </w:pPr>
    </w:p>
    <w:sectPr w:rsidR="00671AF8" w:rsidSect="00B3424B">
      <w:headerReference w:type="default" r:id="rId9"/>
      <w:footerReference w:type="default" r:id="rId10"/>
      <w:headerReference w:type="first" r:id="rId11"/>
      <w:pgSz w:w="11907" w:h="16840" w:code="9"/>
      <w:pgMar w:top="1985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FF" w:rsidRDefault="00234BFF">
      <w:r>
        <w:separator/>
      </w:r>
    </w:p>
  </w:endnote>
  <w:endnote w:type="continuationSeparator" w:id="0">
    <w:p w:rsidR="00234BFF" w:rsidRDefault="0023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2" w:rsidRPr="001141E1" w:rsidRDefault="00450882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FF" w:rsidRDefault="00234BFF">
      <w:r>
        <w:separator/>
      </w:r>
    </w:p>
  </w:footnote>
  <w:footnote w:type="continuationSeparator" w:id="0">
    <w:p w:rsidR="00234BFF" w:rsidRDefault="0023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2" w:rsidRPr="000400F9" w:rsidRDefault="00E864EE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88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50882">
      <w:rPr>
        <w:rFonts w:ascii="Arial" w:hAnsi="Arial" w:cs="Arial"/>
        <w:b/>
        <w:sz w:val="22"/>
        <w:szCs w:val="22"/>
        <w:u w:val="single"/>
      </w:rPr>
      <w:t>month year</w:t>
    </w:r>
  </w:p>
  <w:p w:rsidR="00450882" w:rsidRDefault="0045088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50882" w:rsidRDefault="0045088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50882" w:rsidRPr="00F10DF9" w:rsidRDefault="00450882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2" w:rsidRDefault="00450882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450882" w:rsidRPr="000400F9" w:rsidRDefault="00E864EE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88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07567">
      <w:rPr>
        <w:rFonts w:ascii="Arial" w:hAnsi="Arial" w:cs="Arial"/>
        <w:b/>
        <w:sz w:val="22"/>
        <w:szCs w:val="22"/>
        <w:u w:val="single"/>
      </w:rPr>
      <w:t xml:space="preserve">November </w:t>
    </w:r>
    <w:r w:rsidR="00450882">
      <w:rPr>
        <w:rFonts w:ascii="Arial" w:hAnsi="Arial" w:cs="Arial"/>
        <w:b/>
        <w:sz w:val="22"/>
        <w:szCs w:val="22"/>
        <w:u w:val="single"/>
      </w:rPr>
      <w:t>2009</w:t>
    </w:r>
  </w:p>
  <w:p w:rsidR="00450882" w:rsidRDefault="0045088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Building and Construction Industry (Portable Long Service Leave) Amendment Regulation (No. 1) 2009</w:t>
    </w:r>
  </w:p>
  <w:p w:rsidR="00450882" w:rsidRDefault="0045088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450882" w:rsidRPr="00F10DF9" w:rsidRDefault="00450882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7206"/>
    <w:multiLevelType w:val="hybridMultilevel"/>
    <w:tmpl w:val="8AD8E878"/>
    <w:lvl w:ilvl="0" w:tplc="B9C6797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6DC6A5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10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9C679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455EC"/>
    <w:rsid w:val="00052F35"/>
    <w:rsid w:val="0005520C"/>
    <w:rsid w:val="00060480"/>
    <w:rsid w:val="00074D2F"/>
    <w:rsid w:val="000851A4"/>
    <w:rsid w:val="000E20D0"/>
    <w:rsid w:val="000F3021"/>
    <w:rsid w:val="00152B45"/>
    <w:rsid w:val="00180EDB"/>
    <w:rsid w:val="00182456"/>
    <w:rsid w:val="00186FC3"/>
    <w:rsid w:val="00187946"/>
    <w:rsid w:val="001C5C47"/>
    <w:rsid w:val="001F02E8"/>
    <w:rsid w:val="00223D45"/>
    <w:rsid w:val="00234BFF"/>
    <w:rsid w:val="00252E60"/>
    <w:rsid w:val="0025436A"/>
    <w:rsid w:val="002676EC"/>
    <w:rsid w:val="002806B7"/>
    <w:rsid w:val="0029502A"/>
    <w:rsid w:val="002B02FD"/>
    <w:rsid w:val="002D3EEE"/>
    <w:rsid w:val="002D4245"/>
    <w:rsid w:val="002E287D"/>
    <w:rsid w:val="003046FE"/>
    <w:rsid w:val="00310F46"/>
    <w:rsid w:val="00312AA0"/>
    <w:rsid w:val="0034173E"/>
    <w:rsid w:val="00355094"/>
    <w:rsid w:val="00360FD6"/>
    <w:rsid w:val="00361B46"/>
    <w:rsid w:val="003712CC"/>
    <w:rsid w:val="003760CE"/>
    <w:rsid w:val="00381A90"/>
    <w:rsid w:val="00392ABB"/>
    <w:rsid w:val="003A43AB"/>
    <w:rsid w:val="003E1286"/>
    <w:rsid w:val="00407567"/>
    <w:rsid w:val="004367D0"/>
    <w:rsid w:val="00450882"/>
    <w:rsid w:val="00451A6D"/>
    <w:rsid w:val="0045700A"/>
    <w:rsid w:val="004635C1"/>
    <w:rsid w:val="00485E0A"/>
    <w:rsid w:val="004C565F"/>
    <w:rsid w:val="004C5A54"/>
    <w:rsid w:val="00515706"/>
    <w:rsid w:val="00522272"/>
    <w:rsid w:val="00540C7B"/>
    <w:rsid w:val="005535C5"/>
    <w:rsid w:val="00560F27"/>
    <w:rsid w:val="0056466F"/>
    <w:rsid w:val="00591C4E"/>
    <w:rsid w:val="00595143"/>
    <w:rsid w:val="0059637D"/>
    <w:rsid w:val="005A2C11"/>
    <w:rsid w:val="005A5013"/>
    <w:rsid w:val="005B1674"/>
    <w:rsid w:val="005D400B"/>
    <w:rsid w:val="005E408F"/>
    <w:rsid w:val="005F1ED3"/>
    <w:rsid w:val="006051CB"/>
    <w:rsid w:val="00614D3C"/>
    <w:rsid w:val="00627623"/>
    <w:rsid w:val="00630279"/>
    <w:rsid w:val="00631E60"/>
    <w:rsid w:val="00653E2C"/>
    <w:rsid w:val="0065620E"/>
    <w:rsid w:val="00670E53"/>
    <w:rsid w:val="00671AF8"/>
    <w:rsid w:val="006862CE"/>
    <w:rsid w:val="006A1FA0"/>
    <w:rsid w:val="006D27D4"/>
    <w:rsid w:val="006D3F7D"/>
    <w:rsid w:val="006D5C8A"/>
    <w:rsid w:val="006F0676"/>
    <w:rsid w:val="006F2F07"/>
    <w:rsid w:val="00706B3C"/>
    <w:rsid w:val="00722D58"/>
    <w:rsid w:val="007370E8"/>
    <w:rsid w:val="00747101"/>
    <w:rsid w:val="00750A10"/>
    <w:rsid w:val="00752CFA"/>
    <w:rsid w:val="00774813"/>
    <w:rsid w:val="007A6B61"/>
    <w:rsid w:val="007B7EC7"/>
    <w:rsid w:val="007C5D57"/>
    <w:rsid w:val="007E18AD"/>
    <w:rsid w:val="00820DA3"/>
    <w:rsid w:val="00827922"/>
    <w:rsid w:val="00832E6D"/>
    <w:rsid w:val="0083708B"/>
    <w:rsid w:val="00841371"/>
    <w:rsid w:val="0085166C"/>
    <w:rsid w:val="00856692"/>
    <w:rsid w:val="008668E1"/>
    <w:rsid w:val="008727EB"/>
    <w:rsid w:val="00887450"/>
    <w:rsid w:val="00896E90"/>
    <w:rsid w:val="008A64D2"/>
    <w:rsid w:val="008B434F"/>
    <w:rsid w:val="008E368A"/>
    <w:rsid w:val="008F6810"/>
    <w:rsid w:val="0090158F"/>
    <w:rsid w:val="00905400"/>
    <w:rsid w:val="009158FC"/>
    <w:rsid w:val="00952787"/>
    <w:rsid w:val="009710BC"/>
    <w:rsid w:val="009715B0"/>
    <w:rsid w:val="00987B44"/>
    <w:rsid w:val="00997C80"/>
    <w:rsid w:val="009B581E"/>
    <w:rsid w:val="009D324F"/>
    <w:rsid w:val="009D461E"/>
    <w:rsid w:val="009E64A4"/>
    <w:rsid w:val="009F5419"/>
    <w:rsid w:val="009F5BCF"/>
    <w:rsid w:val="00A11FBB"/>
    <w:rsid w:val="00A35F50"/>
    <w:rsid w:val="00A50826"/>
    <w:rsid w:val="00A55E4D"/>
    <w:rsid w:val="00A6221E"/>
    <w:rsid w:val="00A64699"/>
    <w:rsid w:val="00A96C88"/>
    <w:rsid w:val="00AA27B3"/>
    <w:rsid w:val="00AC18A4"/>
    <w:rsid w:val="00AD277A"/>
    <w:rsid w:val="00AE6038"/>
    <w:rsid w:val="00B133B9"/>
    <w:rsid w:val="00B21F0C"/>
    <w:rsid w:val="00B26013"/>
    <w:rsid w:val="00B3321A"/>
    <w:rsid w:val="00B3424B"/>
    <w:rsid w:val="00B34EA8"/>
    <w:rsid w:val="00B35C58"/>
    <w:rsid w:val="00B46A4E"/>
    <w:rsid w:val="00B47527"/>
    <w:rsid w:val="00B577C5"/>
    <w:rsid w:val="00BB5E42"/>
    <w:rsid w:val="00BC2BA7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54316"/>
    <w:rsid w:val="00C56904"/>
    <w:rsid w:val="00C8361E"/>
    <w:rsid w:val="00CB3466"/>
    <w:rsid w:val="00CC75AD"/>
    <w:rsid w:val="00CE05CC"/>
    <w:rsid w:val="00CE7993"/>
    <w:rsid w:val="00CF0639"/>
    <w:rsid w:val="00D242FE"/>
    <w:rsid w:val="00D41362"/>
    <w:rsid w:val="00D44E94"/>
    <w:rsid w:val="00D65E90"/>
    <w:rsid w:val="00D82079"/>
    <w:rsid w:val="00D837E2"/>
    <w:rsid w:val="00DA4564"/>
    <w:rsid w:val="00DA66B6"/>
    <w:rsid w:val="00DB3C67"/>
    <w:rsid w:val="00DC47ED"/>
    <w:rsid w:val="00E10C09"/>
    <w:rsid w:val="00E12EBA"/>
    <w:rsid w:val="00E211B0"/>
    <w:rsid w:val="00E4797D"/>
    <w:rsid w:val="00E6758B"/>
    <w:rsid w:val="00E7299C"/>
    <w:rsid w:val="00E741B2"/>
    <w:rsid w:val="00E775F7"/>
    <w:rsid w:val="00E864EE"/>
    <w:rsid w:val="00E96B91"/>
    <w:rsid w:val="00EA6D8A"/>
    <w:rsid w:val="00EB4CD3"/>
    <w:rsid w:val="00EB5974"/>
    <w:rsid w:val="00EC06FB"/>
    <w:rsid w:val="00EE4BD1"/>
    <w:rsid w:val="00EE5B20"/>
    <w:rsid w:val="00EF4CD1"/>
    <w:rsid w:val="00F17536"/>
    <w:rsid w:val="00FB44DA"/>
    <w:rsid w:val="00FD6F0A"/>
    <w:rsid w:val="00FE5652"/>
    <w:rsid w:val="00FE6256"/>
    <w:rsid w:val="00FF36D8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atory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1515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Base>https://www.cabinet.qld.gov.au/documents/2009/Nov/Building and Construction Industry (PLSL) Amendment Reg 2009/</HyperlinkBase>
  <HLinks>
    <vt:vector size="12" baseType="variant">
      <vt:variant>
        <vt:i4>6225948</vt:i4>
      </vt:variant>
      <vt:variant>
        <vt:i4>3</vt:i4>
      </vt:variant>
      <vt:variant>
        <vt:i4>0</vt:i4>
      </vt:variant>
      <vt:variant>
        <vt:i4>5</vt:i4>
      </vt:variant>
      <vt:variant>
        <vt:lpwstr>Attachments/Explanatory 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LSL,RIS,building_industry</cp:keywords>
  <dc:description/>
  <cp:lastModifiedBy/>
  <cp:revision>2</cp:revision>
  <cp:lastPrinted>2010-09-01T04:55:00Z</cp:lastPrinted>
  <dcterms:created xsi:type="dcterms:W3CDTF">2017-10-24T22:02:00Z</dcterms:created>
  <dcterms:modified xsi:type="dcterms:W3CDTF">2018-03-06T00:58:00Z</dcterms:modified>
  <cp:category>Industrial_Relations,Legislation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378191757</vt:i4>
  </property>
  <property fmtid="{D5CDD505-2E9C-101B-9397-08002B2CF9AE}" pid="3" name="_NewReviewCycle">
    <vt:lpwstr/>
  </property>
  <property fmtid="{D5CDD505-2E9C-101B-9397-08002B2CF9AE}" pid="4" name="_PreviousAdHocReviewCycleID">
    <vt:i4>2007073609</vt:i4>
  </property>
  <property fmtid="{D5CDD505-2E9C-101B-9397-08002B2CF9AE}" pid="5" name="_ReviewingToolsShownOnce">
    <vt:lpwstr/>
  </property>
</Properties>
</file>